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17"/>
        <w:rPr>
          <w:rFonts w:ascii="Droid Sans" w:hAnsi="Droid Sans"/>
        </w:rPr>
      </w:pPr>
      <w:r>
        <w:rPr>
          <w:rFonts w:ascii="Droid Sans" w:hAnsi="Droid Sans"/>
        </w:rPr>
        <w:t>Федеральным законом от 02.05.2006г. № 59-ФЗ «О порядке рассмотрения обращений граждан Российской Федерации», устанавливается порядок рассмотрения обращений граждан государственными органами, органами местного самоуправления и должностными лицами: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>
      <w:pPr>
        <w:pStyle w:val="style17"/>
        <w:pBdr>
          <w:top w:val="nil"/>
          <w:left w:val="nil"/>
          <w:bottom w:val="nil"/>
          <w:insideH w:val="nil"/>
          <w:right w:val="nil"/>
          <w:insideV w:val="nil"/>
        </w:pBdr>
        <w:spacing w:after="0" w:before="0"/>
        <w:contextualSpacing w:val="false"/>
        <w:jc w:val="left"/>
        <w:rPr>
          <w:rFonts w:ascii="Droid Sans" w:hAnsi="Droid Sans"/>
          <w:b w:val="false"/>
          <w:bCs w:val="false"/>
          <w:i/>
          <w:iCs/>
          <w:u w:val="single"/>
        </w:rPr>
      </w:pPr>
      <w:r>
        <w:rPr>
          <w:rFonts w:ascii="Droid Sans" w:hAnsi="Droid Sans"/>
          <w:b w:val="false"/>
          <w:bCs w:val="false"/>
          <w:i/>
          <w:iCs/>
          <w:u w:val="single"/>
        </w:rPr>
        <w:t>Но на управляющие компании действие данного закона не распространяется!</w:t>
      </w:r>
    </w:p>
    <w:p>
      <w:pPr>
        <w:pStyle w:val="style17"/>
        <w:pBdr>
          <w:top w:val="nil"/>
          <w:left w:val="nil"/>
          <w:bottom w:val="nil"/>
          <w:insideH w:val="nil"/>
          <w:right w:val="nil"/>
          <w:insideV w:val="nil"/>
        </w:pBdr>
        <w:spacing w:after="0" w:before="0"/>
        <w:contextualSpacing w:val="false"/>
        <w:jc w:val="left"/>
        <w:rPr>
          <w:rFonts w:ascii="Droid Sans" w:hAnsi="Droid Sans"/>
          <w:b w:val="false"/>
          <w:bCs w:val="false"/>
          <w:i/>
          <w:iCs/>
          <w:u w:val="single"/>
        </w:rPr>
      </w:pPr>
      <w:r>
        <w:rPr>
          <w:rFonts w:ascii="Droid Sans" w:hAnsi="Droid Sans"/>
          <w:b w:val="false"/>
          <w:bCs w:val="false"/>
          <w:i/>
          <w:iCs/>
          <w:u w:val="single"/>
        </w:rPr>
      </w:r>
    </w:p>
    <w:tbl>
      <w:tblPr>
        <w:tblW w:type="dxa" w:w="13958"/>
        <w:jc w:val="left"/>
        <w:tblInd w:type="dxa" w:w="0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4650"/>
        <w:gridCol w:w="4651"/>
        <w:gridCol w:w="4657"/>
      </w:tblGrid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CCCCCC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  <w:b/>
                <w:bCs/>
              </w:rPr>
            </w:pPr>
            <w:r>
              <w:rPr>
                <w:rFonts w:ascii="Droid Sans" w:hAnsi="Droid Sans"/>
                <w:b/>
                <w:bCs/>
              </w:rPr>
              <w:t>Запрашиваемая информация у управляющей организации, ТСЖ, ЖСК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CCCCCC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  <w:b/>
                <w:bCs/>
              </w:rPr>
            </w:pPr>
            <w:r>
              <w:rPr>
                <w:rFonts w:ascii="Droid Sans" w:hAnsi="Droid Sans"/>
                <w:b/>
                <w:bCs/>
              </w:rPr>
              <w:t>Срок предоставления информации управляющей организацией, ТСЖ, ЖСК</w:t>
            </w:r>
          </w:p>
        </w:tc>
        <w:tc>
          <w:tcPr>
            <w:tcW w:type="dxa" w:w="465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CCCCCC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  <w:b/>
                <w:bCs/>
              </w:rPr>
            </w:pPr>
            <w:r>
              <w:rPr>
                <w:rFonts w:ascii="Droid Sans" w:hAnsi="Droid Sans"/>
                <w:b/>
                <w:bCs/>
              </w:rPr>
              <w:t>Нормативно-правовой акт</w:t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Общая информация об организации, об основных показателях ее финансово-хозяйственной деятельности</w:t>
            </w:r>
          </w:p>
        </w:tc>
        <w:tc>
          <w:tcPr>
            <w:tcW w:type="dxa" w:w="4651"/>
            <w:vMerge w:val="restart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В течение 10 рабочих дней</w:t>
            </w:r>
          </w:p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В случае если запрашиваемая информация раскрыта в необходимом объеме на официальном сайте в сети Интернет или в официальных печатных изданиях, управляющая организация, товарищество и кооператив вправе, не раскрывая запрашиваемую информацию, сообщить адрес указанного официального сайта и (или) наименования и реквизиты официальных печатных изданий, где размещена информация.</w:t>
            </w:r>
          </w:p>
        </w:tc>
        <w:tc>
          <w:tcPr>
            <w:tcW w:type="dxa" w:w="4657"/>
            <w:vMerge w:val="restart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Постановление Правительства РФ от 23 сентября 2010 г. N 731 « Об утверждении стандарта раскрытия информации организациями, осуществляющими деятельность в сфере управления многоквартирными дома</w:t>
            </w:r>
            <w:bookmarkStart w:id="0" w:name="_GoBack"/>
            <w:bookmarkEnd w:id="0"/>
            <w:r>
              <w:rPr>
                <w:rFonts w:ascii="Droid Sans" w:hAnsi="Droid Sans"/>
              </w:rPr>
              <w:t>ми» (пп.18, 21)</w:t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Общая информация о многоквартирном доме, его характеристика</w:t>
            </w:r>
          </w:p>
        </w:tc>
        <w:tc>
          <w:tcPr>
            <w:tcW w:type="dxa" w:w="4651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 выполняемых работах (оказываемых услугах) по содержанию и ремонту общего имущества в многоквартирном доме</w:t>
            </w:r>
          </w:p>
        </w:tc>
        <w:tc>
          <w:tcPr>
            <w:tcW w:type="dxa" w:w="4651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об оказываемых коммунальных услугах</w:t>
            </w:r>
          </w:p>
        </w:tc>
        <w:tc>
          <w:tcPr>
            <w:tcW w:type="dxa" w:w="4651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об использовании общего имущества в многоквартирном доме</w:t>
            </w:r>
          </w:p>
        </w:tc>
        <w:tc>
          <w:tcPr>
            <w:tcW w:type="dxa" w:w="4651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 капитальном ремонте общего имущества в многоквартирном доме</w:t>
            </w:r>
          </w:p>
        </w:tc>
        <w:tc>
          <w:tcPr>
            <w:tcW w:type="dxa" w:w="4651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 проведенных общих собраниях собственников помещений в многоквартирном доме, результатах (решениях) таких собраний</w:t>
            </w:r>
          </w:p>
        </w:tc>
        <w:tc>
          <w:tcPr>
            <w:tcW w:type="dxa" w:w="4651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 случаях привлечения управляющей организации, товарищества и кооператива, должностных лиц к административной ответственности за нарушения в сфере управления многоквартирным домом</w:t>
            </w:r>
          </w:p>
        </w:tc>
        <w:tc>
          <w:tcPr>
            <w:tcW w:type="dxa" w:w="4651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Отчет об исполнении управляющей организацией договора управления, отчет об исполнении смет доходов и расходов товарищества, кооператива за год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раскрывается ежегодно, в течение I квартала текущего года за предыдущий год</w:t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Подача жалобы (заявления, претензии) на качество предоставления коммунальных услуг с последующим удовлетворении либо отказе в ее удовлетворении с указанием причин отказа (п.31)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в течение 3 рабочих дней</w:t>
            </w:r>
          </w:p>
        </w:tc>
        <w:tc>
          <w:tcPr>
            <w:tcW w:type="dxa" w:w="4657"/>
            <w:vMerge w:val="restart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Постановление Правительства РФ от 06.05.2011 N 354 ст. 31 (ред. от 14.11.2014) "О предоставлении коммунальных услуг собственникам и пользователям помещений в многоквартирных домах и жилых домов"</w:t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об обнаружении запаха газа (п.31)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незамедлительно</w:t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 причинах предоставления коммунальных услуг ненадлежащего качества и (или) с перерывами, превышающими установленную продолжительность. (п.104)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в течение суток</w:t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Информирование потребителя об изменении тарифов и нормативов потребления коммунальных услуг (п.68)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не позднее чем за 30 дней до даты выставления платежных документов</w:t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Информирование потребителя о дате начала проведения планового перерыва в предоставлении коммунальных услуг (п.31)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за 10 рабочих дней</w:t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Информирование потребителя о проведении планово-профилактического ремонта и работ по обслуживанию централизованных сетей инженерно-технического обеспечения и (или) внутридомовых инженерных систем. (п.117)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за 10 рабочих дней</w:t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Сведения о показаниях коллективных (общедомовых) приборов учета (п.31)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в течение 1 рабочего дня</w:t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за расчетные периоды о помесячных объемах (количестве) потребленных коммунальных ресурсов, предоставленных на общедомовые нужды (п.31)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в течение 3 рабочих дней</w:t>
            </w:r>
          </w:p>
        </w:tc>
        <w:tc>
          <w:tcPr>
            <w:tcW w:type="dxa" w:w="4657"/>
            <w:vMerge w:val="continue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</w:r>
          </w:p>
        </w:tc>
      </w:tr>
      <w:tr>
        <w:trPr>
          <w:cantSplit w:val="false"/>
        </w:trPr>
        <w:tc>
          <w:tcPr>
            <w:tcW w:type="dxa" w:w="46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Информация о перечнях, объемах, качестве и периодичности оказанных услуг и (или) выполненных работ (п. 40)</w:t>
            </w:r>
          </w:p>
        </w:tc>
        <w:tc>
          <w:tcPr>
            <w:tcW w:type="dxa" w:w="46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не позднее 5 рабочих дней с даты обращения</w:t>
            </w:r>
          </w:p>
        </w:tc>
        <w:tc>
          <w:tcPr>
            <w:tcW w:type="dxa" w:w="465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Постановление Правительства РФ от 13.08.2006 N 491</w:t>
            </w:r>
          </w:p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(ред. от 26.03.2014)</w:t>
            </w:r>
          </w:p>
          <w:p>
            <w:pPr>
              <w:pStyle w:val="style0"/>
              <w:spacing w:after="0" w:before="0" w:line="100" w:lineRule="atLeast"/>
              <w:contextualSpacing w:val="false"/>
              <w:rPr>
                <w:rFonts w:ascii="Droid Sans" w:hAnsi="Droid Sans"/>
              </w:rPr>
            </w:pPr>
            <w:r>
              <w:rPr>
                <w:rFonts w:ascii="Droid Sans" w:hAnsi="Droid Sans"/>
              </w:rPr>
              <w:t>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</w:t>
            </w:r>
          </w:p>
        </w:tc>
      </w:tr>
    </w:tbl>
    <w:p>
      <w:pPr>
        <w:pStyle w:val="style0"/>
        <w:rPr>
          <w:rFonts w:ascii="Droid Sans" w:hAnsi="Droid Sans"/>
        </w:rPr>
      </w:pPr>
      <w:r>
        <w:rPr>
          <w:rFonts w:ascii="Droid Sans" w:hAnsi="Droid Sans"/>
        </w:rPr>
      </w:r>
    </w:p>
    <w:sectPr>
      <w:type w:val="nextPage"/>
      <w:pgSz w:h="11906" w:orient="landscape" w:w="16838"/>
      <w:pgMar w:bottom="1440" w:footer="0" w:gutter="0" w:header="0" w:left="1440" w:right="1440" w:top="144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libri"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Droid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7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" w:eastAsia="Droid Sans Fallback" w:hAnsi="Calibri"/>
      <w:color w:val="auto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paragraph">
    <w:name w:val="Heading"/>
    <w:basedOn w:val="style0"/>
    <w:next w:val="style17"/>
    <w:pPr>
      <w:keepNext/>
      <w:spacing w:after="120" w:before="240"/>
      <w:contextualSpacing w:val="false"/>
    </w:pPr>
    <w:rPr>
      <w:rFonts w:ascii="Arimo" w:cs="FreeSans" w:eastAsia="Droid Sans Fallback" w:hAnsi="Arimo"/>
      <w:sz w:val="28"/>
      <w:szCs w:val="28"/>
    </w:rPr>
  </w:style>
  <w:style w:styleId="style17" w:type="paragraph">
    <w:name w:val="Text Body"/>
    <w:basedOn w:val="style0"/>
    <w:next w:val="style17"/>
    <w:pPr>
      <w:spacing w:after="120" w:before="0"/>
      <w:contextualSpacing w:val="false"/>
    </w:pPr>
    <w:rPr/>
  </w:style>
  <w:style w:styleId="style18" w:type="paragraph">
    <w:name w:val="List"/>
    <w:basedOn w:val="style17"/>
    <w:next w:val="style18"/>
    <w:pPr/>
    <w:rPr>
      <w:rFonts w:cs="FreeSans"/>
    </w:rPr>
  </w:style>
  <w:style w:styleId="style19" w:type="paragraph">
    <w:name w:val="Caption"/>
    <w:basedOn w:val="style0"/>
    <w:next w:val="style19"/>
    <w:pPr>
      <w:suppressLineNumbers/>
      <w:spacing w:after="120" w:before="120"/>
      <w:contextualSpacing w:val="false"/>
    </w:pPr>
    <w:rPr>
      <w:rFonts w:cs="FreeSans"/>
      <w:i/>
      <w:iCs/>
      <w:sz w:val="24"/>
      <w:szCs w:val="24"/>
    </w:rPr>
  </w:style>
  <w:style w:styleId="style20" w:type="paragraph">
    <w:name w:val="Index"/>
    <w:basedOn w:val="style0"/>
    <w:next w:val="style20"/>
    <w:pPr>
      <w:suppressLineNumbers/>
    </w:pPr>
    <w:rPr>
      <w:rFonts w:cs="FreeSans"/>
    </w:rPr>
  </w:style>
  <w:style w:styleId="style21" w:type="paragraph">
    <w:name w:val="Table Contents"/>
    <w:basedOn w:val="style0"/>
    <w:next w:val="style21"/>
    <w:pPr/>
    <w:rPr/>
  </w:style>
  <w:style w:styleId="style22" w:type="paragraph">
    <w:name w:val="Table Heading"/>
    <w:basedOn w:val="style21"/>
    <w:next w:val="style22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2015-04-07T06:43:00Z</dcterms:created>
  <dc:creator>Федоров Александр Николаевич</dc:creator>
  <cp:lastModifiedBy>Федоров Александр Николаевич</cp:lastModifiedBy>
  <dcterms:modified xsi:type="dcterms:W3CDTF">2015-04-09T07:49:00Z</dcterms:modified>
  <cp:revision>2</cp:revision>
</cp:coreProperties>
</file>